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1F49" w14:textId="46AD687A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</w:t>
      </w:r>
      <w:r w:rsidR="00B95493">
        <w:rPr>
          <w:rFonts w:cs="Arial"/>
          <w:b/>
          <w:sz w:val="22"/>
          <w:lang w:val="en-US"/>
        </w:rPr>
        <w:t>20</w:t>
      </w:r>
      <w:r>
        <w:rPr>
          <w:rFonts w:cs="Arial"/>
          <w:b/>
          <w:i/>
          <w:sz w:val="22"/>
          <w:lang w:val="en-US"/>
        </w:rPr>
        <w:tab/>
      </w:r>
      <w:r w:rsidR="002070B3" w:rsidRPr="002070B3">
        <w:rPr>
          <w:rFonts w:cs="Arial"/>
          <w:b/>
          <w:i/>
          <w:sz w:val="22"/>
          <w:lang w:val="en-US" w:eastAsia="zh-CN"/>
        </w:rPr>
        <w:t>R2-</w:t>
      </w:r>
      <w:r w:rsidR="00067045" w:rsidRPr="00FF6000">
        <w:rPr>
          <w:rFonts w:cs="Arial"/>
          <w:b/>
          <w:i/>
          <w:sz w:val="22"/>
          <w:lang w:val="en-US" w:eastAsia="zh-CN"/>
        </w:rPr>
        <w:t>221</w:t>
      </w:r>
      <w:r w:rsidR="00067045">
        <w:rPr>
          <w:rFonts w:cs="Arial"/>
          <w:b/>
          <w:i/>
          <w:sz w:val="22"/>
          <w:lang w:val="en-US" w:eastAsia="zh-CN"/>
        </w:rPr>
        <w:t>1208</w:t>
      </w:r>
    </w:p>
    <w:p w14:paraId="3F17F203" w14:textId="7D6EC07B" w:rsidR="00FB3C9D" w:rsidRDefault="00B95493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Toulouse, France</w:t>
      </w:r>
      <w:r w:rsidR="003D1DDD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November</w:t>
      </w:r>
      <w:r w:rsidR="00BF4716">
        <w:rPr>
          <w:rFonts w:cs="Arial"/>
          <w:b/>
          <w:sz w:val="22"/>
          <w:lang w:val="en-US"/>
        </w:rPr>
        <w:t xml:space="preserve"> </w:t>
      </w:r>
      <w:r w:rsidR="003D1DDD">
        <w:rPr>
          <w:rFonts w:cs="Arial"/>
          <w:b/>
          <w:sz w:val="22"/>
          <w:lang w:val="en-US"/>
        </w:rPr>
        <w:t>2022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05F045F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8.9.4</w:t>
      </w:r>
    </w:p>
    <w:p w14:paraId="7B1B0462" w14:textId="250A0738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  <w:r w:rsidR="00EC48F1">
        <w:rPr>
          <w:rFonts w:hint="eastAsia"/>
          <w:sz w:val="22"/>
        </w:rPr>
        <w:t>,</w:t>
      </w:r>
      <w:r w:rsidR="00EC48F1">
        <w:rPr>
          <w:sz w:val="22"/>
        </w:rPr>
        <w:t xml:space="preserve"> ZTE, </w:t>
      </w:r>
      <w:r w:rsidR="00F64261" w:rsidRPr="00F64261">
        <w:rPr>
          <w:sz w:val="22"/>
        </w:rPr>
        <w:t xml:space="preserve">Huawei, </w:t>
      </w:r>
      <w:proofErr w:type="spellStart"/>
      <w:r w:rsidR="00F64261" w:rsidRPr="00F64261">
        <w:rPr>
          <w:sz w:val="22"/>
        </w:rPr>
        <w:t>HiSilicon</w:t>
      </w:r>
      <w:proofErr w:type="spellEnd"/>
      <w:r w:rsidR="00EC48F1">
        <w:rPr>
          <w:sz w:val="22"/>
        </w:rPr>
        <w:t>, MediaTek</w:t>
      </w:r>
    </w:p>
    <w:p w14:paraId="5684291F" w14:textId="4F5E5AB3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A420A8">
        <w:rPr>
          <w:sz w:val="22"/>
        </w:rPr>
        <w:t xml:space="preserve">Discussion on </w:t>
      </w:r>
      <w:proofErr w:type="spellStart"/>
      <w:r w:rsidR="00A420A8">
        <w:rPr>
          <w:sz w:val="22"/>
        </w:rPr>
        <w:t>PCell</w:t>
      </w:r>
      <w:proofErr w:type="spellEnd"/>
      <w:r w:rsidR="00A420A8">
        <w:rPr>
          <w:sz w:val="22"/>
        </w:rPr>
        <w:t xml:space="preserve"> location for Multi-path Relay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bookmarkEnd w:id="5"/>
    <w:p w14:paraId="44D5DC77" w14:textId="71CA739E" w:rsidR="00041594" w:rsidRPr="00041594" w:rsidRDefault="00A420A8" w:rsidP="00E54656">
      <w:pPr>
        <w:rPr>
          <w:rFonts w:eastAsia="Batang"/>
          <w:lang w:eastAsia="ko-KR"/>
        </w:rPr>
      </w:pPr>
      <w:r>
        <w:rPr>
          <w:lang w:eastAsia="ko-KR"/>
        </w:rPr>
        <w:t xml:space="preserve">This paper is to discuss the left issues on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location for multi-path Relay.</w:t>
      </w:r>
    </w:p>
    <w:p w14:paraId="5EE19B22" w14:textId="4BCA2BB5" w:rsidR="002110D8" w:rsidRDefault="002110D8" w:rsidP="002110D8">
      <w:pPr>
        <w:pStyle w:val="1"/>
      </w:pPr>
      <w:r>
        <w:rPr>
          <w:rFonts w:hint="eastAsia"/>
        </w:rPr>
        <w:t>Discussion</w:t>
      </w:r>
    </w:p>
    <w:p w14:paraId="5752CEDA" w14:textId="7EC2787E" w:rsidR="00C723FD" w:rsidRDefault="00C723FD" w:rsidP="00C723FD">
      <w:r>
        <w:rPr>
          <w:rFonts w:hint="eastAsia"/>
        </w:rPr>
        <w:t>O</w:t>
      </w:r>
      <w:r>
        <w:t>ne hot issue discussed in [</w:t>
      </w:r>
      <w:proofErr w:type="gramStart"/>
      <w:r>
        <w:t>Post-119</w:t>
      </w:r>
      <w:proofErr w:type="gramEnd"/>
      <w:r>
        <w:t xml:space="preserve">][408] and [At-119bis][426] is the modelling issue, i.e., </w:t>
      </w:r>
      <w:r>
        <w:rPr>
          <w:rFonts w:hint="eastAsia"/>
        </w:rPr>
        <w:t>t</w:t>
      </w:r>
      <w:r>
        <w:t xml:space="preserve">here is a view to model one path as MCG and the other as </w:t>
      </w:r>
      <w:r>
        <w:rPr>
          <w:rFonts w:hint="eastAsia"/>
        </w:rPr>
        <w:t>SCG,</w:t>
      </w:r>
      <w:r>
        <w:t xml:space="preserve"> and use that to handle related CP procedures. </w:t>
      </w:r>
      <w:r w:rsidR="00A420A8">
        <w:t xml:space="preserve">Although initially the motivation </w:t>
      </w:r>
      <w:r w:rsidR="00841B61">
        <w:t>for</w:t>
      </w:r>
      <w:r w:rsidR="00A420A8">
        <w:t xml:space="preserve"> adopting such modelling was not clarified in [</w:t>
      </w:r>
      <w:proofErr w:type="gramStart"/>
      <w:r w:rsidR="00A420A8">
        <w:t>Post-119</w:t>
      </w:r>
      <w:proofErr w:type="gramEnd"/>
      <w:r w:rsidR="00A420A8">
        <w:t xml:space="preserve">][408], it becomes clear during the </w:t>
      </w:r>
      <w:proofErr w:type="spellStart"/>
      <w:r w:rsidR="00A420A8">
        <w:t>PCell</w:t>
      </w:r>
      <w:proofErr w:type="spellEnd"/>
      <w:r w:rsidR="00A420A8">
        <w:t xml:space="preserve"> location discussion in [At-119bis][426].</w:t>
      </w:r>
    </w:p>
    <w:p w14:paraId="77F79666" w14:textId="6A5889B4" w:rsidR="00A420A8" w:rsidRDefault="00A420A8" w:rsidP="00F64261">
      <w:pPr>
        <w:pStyle w:val="Observation"/>
        <w:numPr>
          <w:ilvl w:val="0"/>
          <w:numId w:val="51"/>
        </w:numPr>
        <w:spacing w:before="120"/>
      </w:pPr>
      <w:bookmarkStart w:id="6" w:name="_Toc101971170"/>
      <w:bookmarkStart w:id="7" w:name="_Toc118292920"/>
      <w:r>
        <w:t xml:space="preserve">In [At-119bis][426], there were comments on adopting DC modelling when the issue of </w:t>
      </w:r>
      <w:proofErr w:type="spellStart"/>
      <w:r>
        <w:t>PCell</w:t>
      </w:r>
      <w:proofErr w:type="spellEnd"/>
      <w:r>
        <w:t xml:space="preserve"> location was discussed</w:t>
      </w:r>
      <w:r w:rsidRPr="00A738D9">
        <w:t>.</w:t>
      </w:r>
      <w:bookmarkEnd w:id="6"/>
      <w:bookmarkEnd w:id="7"/>
    </w:p>
    <w:p w14:paraId="172DABE9" w14:textId="77905AC8" w:rsidR="00C723FD" w:rsidRDefault="00C723FD" w:rsidP="00C723FD">
      <w:r>
        <w:rPr>
          <w:rFonts w:hint="eastAsia"/>
        </w:rPr>
        <w:t>W</w:t>
      </w:r>
      <w:r>
        <w:t>e see some issues by using this approach.</w:t>
      </w:r>
    </w:p>
    <w:p w14:paraId="0AFA1AAC" w14:textId="0DADA890" w:rsidR="00C723FD" w:rsidRDefault="00C723FD" w:rsidP="00C723FD">
      <w:r>
        <w:rPr>
          <w:rFonts w:hint="eastAsia"/>
        </w:rPr>
        <w:t>F</w:t>
      </w:r>
      <w:r>
        <w:t xml:space="preserve">irstly, we are not sure how to handle the scenario where both paths are of the </w:t>
      </w:r>
      <w:r w:rsidRPr="00C723FD">
        <w:rPr>
          <w:b/>
          <w:bCs/>
        </w:rPr>
        <w:t>same cell</w:t>
      </w:r>
      <w:r>
        <w:t>.</w:t>
      </w:r>
    </w:p>
    <w:p w14:paraId="294FE2CF" w14:textId="4CB7B0DB" w:rsidR="00C723FD" w:rsidRDefault="00C723FD" w:rsidP="00C723FD">
      <w:pPr>
        <w:pStyle w:val="aff4"/>
        <w:numPr>
          <w:ilvl w:val="0"/>
          <w:numId w:val="48"/>
        </w:numPr>
        <w:ind w:left="357" w:hanging="357"/>
        <w:contextualSpacing w:val="0"/>
      </w:pPr>
      <w:r>
        <w:t xml:space="preserve">There is </w:t>
      </w:r>
      <w:r w:rsidRPr="00C723FD">
        <w:rPr>
          <w:b/>
          <w:bCs/>
        </w:rPr>
        <w:t>NO</w:t>
      </w:r>
      <w:r>
        <w:t xml:space="preserve"> such scenario in the legacy, i.e., a DC scenario with </w:t>
      </w:r>
      <w:proofErr w:type="spellStart"/>
      <w:r>
        <w:t>PCell</w:t>
      </w:r>
      <w:proofErr w:type="spellEnd"/>
      <w:r>
        <w:t xml:space="preserve"> = </w:t>
      </w:r>
      <w:proofErr w:type="spellStart"/>
      <w:r>
        <w:t>PSCell</w:t>
      </w:r>
      <w:proofErr w:type="spellEnd"/>
      <w:r w:rsidR="00A420A8">
        <w:t xml:space="preserve"> (if we consider the simplest scenario that a single carrier for both paths)</w:t>
      </w:r>
      <w:r>
        <w:t>, so even though the argument is to reuse DC solution to simpl</w:t>
      </w:r>
      <w:r w:rsidR="00841B61">
        <w:t>if</w:t>
      </w:r>
      <w:r>
        <w:t>y, there is nothing to reuse.</w:t>
      </w:r>
      <w:r w:rsidR="00A420A8">
        <w:t xml:space="preserve"> O</w:t>
      </w:r>
      <w:r w:rsidR="00A420A8">
        <w:rPr>
          <w:rFonts w:hint="eastAsia"/>
        </w:rPr>
        <w:t>r</w:t>
      </w:r>
      <w:r w:rsidR="00A420A8">
        <w:t xml:space="preserve"> if we consider the scenario where </w:t>
      </w:r>
      <w:proofErr w:type="spellStart"/>
      <w:r w:rsidR="00A420A8">
        <w:t>Uu</w:t>
      </w:r>
      <w:proofErr w:type="spellEnd"/>
      <w:r w:rsidR="00A420A8">
        <w:t xml:space="preserve">-path has more than one carrier, the issue can be a scenario where either </w:t>
      </w:r>
      <w:proofErr w:type="spellStart"/>
      <w:r w:rsidR="00A420A8">
        <w:t>PCell</w:t>
      </w:r>
      <w:proofErr w:type="spellEnd"/>
      <w:r w:rsidR="00A420A8">
        <w:t xml:space="preserve"> = </w:t>
      </w:r>
      <w:proofErr w:type="spellStart"/>
      <w:r w:rsidR="00A420A8">
        <w:t>PSCell</w:t>
      </w:r>
      <w:proofErr w:type="spellEnd"/>
      <w:r w:rsidR="00A420A8">
        <w:t xml:space="preserve">, </w:t>
      </w:r>
      <w:proofErr w:type="spellStart"/>
      <w:r w:rsidR="00A420A8">
        <w:t>PCell</w:t>
      </w:r>
      <w:proofErr w:type="spellEnd"/>
      <w:r w:rsidR="00A420A8">
        <w:t xml:space="preserve"> = </w:t>
      </w:r>
      <w:proofErr w:type="spellStart"/>
      <w:r w:rsidR="00A420A8">
        <w:t>SCell</w:t>
      </w:r>
      <w:proofErr w:type="spellEnd"/>
      <w:r w:rsidR="00A420A8">
        <w:t xml:space="preserve"> of SCG, or </w:t>
      </w:r>
      <w:proofErr w:type="spellStart"/>
      <w:r w:rsidR="00A420A8">
        <w:t>PSCell</w:t>
      </w:r>
      <w:proofErr w:type="spellEnd"/>
      <w:r w:rsidR="00A420A8">
        <w:t xml:space="preserve"> = </w:t>
      </w:r>
      <w:proofErr w:type="spellStart"/>
      <w:r w:rsidR="00A420A8">
        <w:t>SCell</w:t>
      </w:r>
      <w:proofErr w:type="spellEnd"/>
      <w:r w:rsidR="00A420A8">
        <w:t xml:space="preserve"> of MCG, the essential issue is the same.</w:t>
      </w:r>
    </w:p>
    <w:p w14:paraId="7B192CE6" w14:textId="26CDAD98" w:rsidR="00C723FD" w:rsidRDefault="00C723FD" w:rsidP="00C723FD">
      <w:pPr>
        <w:pStyle w:val="aff4"/>
        <w:numPr>
          <w:ilvl w:val="0"/>
          <w:numId w:val="48"/>
        </w:numPr>
        <w:ind w:left="357" w:hanging="357"/>
        <w:contextualSpacing w:val="0"/>
      </w:pPr>
      <w:r>
        <w:t>And it does not simpl</w:t>
      </w:r>
      <w:r w:rsidR="00841B61">
        <w:t>if</w:t>
      </w:r>
      <w:r>
        <w:t xml:space="preserve">y but </w:t>
      </w:r>
      <w:proofErr w:type="gramStart"/>
      <w:r>
        <w:t>actually complicate</w:t>
      </w:r>
      <w:proofErr w:type="gramEnd"/>
      <w:r>
        <w:t xml:space="preserve"> - there is no real issue if we do not enforce to use DC concept here, because without DC modelling, the legacy system has already perfectly supported the intra-frequency scenario where </w:t>
      </w:r>
      <w:proofErr w:type="spellStart"/>
      <w:r>
        <w:t>sidelink</w:t>
      </w:r>
      <w:proofErr w:type="spellEnd"/>
      <w:r>
        <w:t xml:space="preserve"> operates on the uplink resources. Where we can still perform handover, SL configuration procedures. </w:t>
      </w:r>
      <w:proofErr w:type="gramStart"/>
      <w:r>
        <w:t>So</w:t>
      </w:r>
      <w:proofErr w:type="gramEnd"/>
      <w:r>
        <w:t xml:space="preserve"> the usage of DC modelling actually creates </w:t>
      </w:r>
      <w:r w:rsidR="00841B61">
        <w:t xml:space="preserve">a </w:t>
      </w:r>
      <w:r>
        <w:t xml:space="preserve">problem but not solves </w:t>
      </w:r>
      <w:r w:rsidR="00841B61">
        <w:t xml:space="preserve">a </w:t>
      </w:r>
      <w:r>
        <w:t>problem.</w:t>
      </w:r>
    </w:p>
    <w:p w14:paraId="5DFB63D1" w14:textId="73034B52" w:rsidR="00841B61" w:rsidRDefault="00841B61" w:rsidP="00F64261">
      <w:pPr>
        <w:pStyle w:val="Observation"/>
        <w:numPr>
          <w:ilvl w:val="0"/>
          <w:numId w:val="51"/>
        </w:numPr>
        <w:spacing w:before="120"/>
      </w:pPr>
      <w:bookmarkStart w:id="8" w:name="_Toc118292921"/>
      <w:r>
        <w:t xml:space="preserve">The legacy DC concept cannot handle the scenario where </w:t>
      </w:r>
      <w:proofErr w:type="spellStart"/>
      <w:r>
        <w:t>SpCell</w:t>
      </w:r>
      <w:proofErr w:type="spellEnd"/>
      <w:r>
        <w:t xml:space="preserve"> of one CG = a serving Cell 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>) o</w:t>
      </w:r>
      <w:r w:rsidR="00F64261">
        <w:t>f</w:t>
      </w:r>
      <w:r>
        <w:t xml:space="preserve"> another CG.</w:t>
      </w:r>
      <w:bookmarkEnd w:id="8"/>
    </w:p>
    <w:p w14:paraId="541AE154" w14:textId="2969B982" w:rsidR="00C723FD" w:rsidRDefault="00C723FD" w:rsidP="00C723FD">
      <w:r>
        <w:rPr>
          <w:rFonts w:hint="eastAsia"/>
        </w:rPr>
        <w:t>T</w:t>
      </w:r>
      <w:r>
        <w:t xml:space="preserve">hen, </w:t>
      </w:r>
      <w:proofErr w:type="gramStart"/>
      <w:r w:rsidR="00841B61">
        <w:t>More</w:t>
      </w:r>
      <w:proofErr w:type="gramEnd"/>
      <w:r w:rsidR="00841B61">
        <w:t xml:space="preserve"> detailed Pros/Cons analysis is necessary for the scenario of</w:t>
      </w:r>
      <w:r>
        <w:t xml:space="preserve"> </w:t>
      </w:r>
      <w:r w:rsidRPr="00085FB7">
        <w:rPr>
          <w:b/>
          <w:bCs/>
        </w:rPr>
        <w:t>different cells</w:t>
      </w:r>
      <w:r>
        <w:t>.</w:t>
      </w:r>
    </w:p>
    <w:p w14:paraId="506E81D0" w14:textId="5A76A62F" w:rsidR="00304046" w:rsidRDefault="00841B61" w:rsidP="00C723FD">
      <w:r>
        <w:t>The p</w:t>
      </w:r>
      <w:r w:rsidR="00304046">
        <w:t>roponent of DC modelling argue</w:t>
      </w:r>
      <w:r>
        <w:t>d</w:t>
      </w:r>
      <w:r w:rsidR="00304046">
        <w:t xml:space="preserve"> that we need </w:t>
      </w:r>
      <w:proofErr w:type="spellStart"/>
      <w:r w:rsidR="00304046">
        <w:t>SpCell</w:t>
      </w:r>
      <w:proofErr w:type="spellEnd"/>
      <w:r w:rsidR="00304046">
        <w:t xml:space="preserve"> role on both paths, because (based on what we observed from the email discussion so far)</w:t>
      </w:r>
    </w:p>
    <w:p w14:paraId="453B88B4" w14:textId="42726024" w:rsidR="00304046" w:rsidRDefault="00304046" w:rsidP="00304046">
      <w:pPr>
        <w:pStyle w:val="aff4"/>
        <w:numPr>
          <w:ilvl w:val="0"/>
          <w:numId w:val="48"/>
        </w:numPr>
        <w:ind w:left="357" w:hanging="357"/>
        <w:contextualSpacing w:val="0"/>
      </w:pPr>
      <w:r>
        <w:rPr>
          <w:rFonts w:hint="eastAsia"/>
        </w:rPr>
        <w:t>O</w:t>
      </w:r>
      <w:r>
        <w:t xml:space="preserve">n direct path, </w:t>
      </w:r>
      <w:proofErr w:type="spellStart"/>
      <w:r>
        <w:t>SpCell</w:t>
      </w:r>
      <w:proofErr w:type="spellEnd"/>
      <w:r>
        <w:t xml:space="preserve"> role is expected by L12 procedures like PUCCH, RACH, RLM </w:t>
      </w:r>
      <w:proofErr w:type="gramStart"/>
      <w:r>
        <w:t>and etc.</w:t>
      </w:r>
      <w:proofErr w:type="gramEnd"/>
    </w:p>
    <w:p w14:paraId="38DF1088" w14:textId="14D23C95" w:rsidR="00304046" w:rsidRDefault="00304046" w:rsidP="00304046">
      <w:pPr>
        <w:pStyle w:val="aff4"/>
        <w:numPr>
          <w:ilvl w:val="0"/>
          <w:numId w:val="48"/>
        </w:numPr>
        <w:ind w:left="357" w:hanging="357"/>
        <w:contextualSpacing w:val="0"/>
      </w:pPr>
      <w:r>
        <w:rPr>
          <w:rFonts w:hint="eastAsia"/>
        </w:rPr>
        <w:t>O</w:t>
      </w:r>
      <w:r>
        <w:t xml:space="preserve">n indirect path, </w:t>
      </w:r>
      <w:proofErr w:type="spellStart"/>
      <w:r>
        <w:t>SpCell</w:t>
      </w:r>
      <w:proofErr w:type="spellEnd"/>
      <w:r>
        <w:t xml:space="preserve"> role is expected for UE establishing </w:t>
      </w:r>
      <w:r w:rsidR="00841B61">
        <w:t xml:space="preserve">a </w:t>
      </w:r>
      <w:r>
        <w:t xml:space="preserve">connection via indirect path and one may not </w:t>
      </w:r>
      <w:r w:rsidR="00841B61">
        <w:t xml:space="preserve">want to </w:t>
      </w:r>
      <w:r>
        <w:t xml:space="preserve">mandate the usage of </w:t>
      </w:r>
      <w:proofErr w:type="spellStart"/>
      <w:r>
        <w:t>PCell</w:t>
      </w:r>
      <w:proofErr w:type="spellEnd"/>
      <w:r>
        <w:t xml:space="preserve"> change upon direct path addition. </w:t>
      </w:r>
    </w:p>
    <w:p w14:paraId="30157B2A" w14:textId="2AD7E878" w:rsidR="008D0491" w:rsidRDefault="00304046" w:rsidP="00304046">
      <w:r>
        <w:t xml:space="preserve">But then it creates a modelling of ‘MCG </w:t>
      </w:r>
      <w:proofErr w:type="spellStart"/>
      <w:r>
        <w:t>Uu</w:t>
      </w:r>
      <w:proofErr w:type="spellEnd"/>
      <w:r>
        <w:t xml:space="preserve"> + SCG PC5’ or ‘SCG </w:t>
      </w:r>
      <w:proofErr w:type="spellStart"/>
      <w:r>
        <w:t>Uu</w:t>
      </w:r>
      <w:proofErr w:type="spellEnd"/>
      <w:r>
        <w:t xml:space="preserve"> + MCG PC5’</w:t>
      </w:r>
      <w:r w:rsidR="008D0491">
        <w:t xml:space="preserve">, which does </w:t>
      </w:r>
      <w:r w:rsidR="008D0491" w:rsidRPr="008D0491">
        <w:rPr>
          <w:b/>
          <w:bCs/>
        </w:rPr>
        <w:t>NOT</w:t>
      </w:r>
      <w:r w:rsidR="008D0491">
        <w:t xml:space="preserve"> exist in </w:t>
      </w:r>
      <w:r w:rsidR="00841B61">
        <w:t xml:space="preserve">the </w:t>
      </w:r>
      <w:r w:rsidR="008D0491">
        <w:t xml:space="preserve">legacy system (where we only have ‘MCG </w:t>
      </w:r>
      <w:proofErr w:type="spellStart"/>
      <w:r w:rsidR="008D0491">
        <w:t>Uu</w:t>
      </w:r>
      <w:proofErr w:type="spellEnd"/>
      <w:r w:rsidR="008D0491">
        <w:t xml:space="preserve"> + MCG PC5’)</w:t>
      </w:r>
      <w:r w:rsidR="008D0491">
        <w:rPr>
          <w:rFonts w:hint="eastAsia"/>
        </w:rPr>
        <w:t>.</w:t>
      </w:r>
      <w:r w:rsidR="008D0491">
        <w:t xml:space="preserve"> And the gap is clearly captured in spec</w:t>
      </w:r>
    </w:p>
    <w:p w14:paraId="1C1C2810" w14:textId="77777777" w:rsidR="008D0491" w:rsidRPr="008D0491" w:rsidRDefault="008D0491" w:rsidP="008D04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180" w:after="180"/>
        <w:jc w:val="left"/>
        <w:outlineLvl w:val="1"/>
        <w:rPr>
          <w:rFonts w:eastAsia="Times New Roman"/>
          <w:sz w:val="32"/>
          <w:szCs w:val="20"/>
          <w:lang w:eastAsia="ja-JP"/>
        </w:rPr>
      </w:pPr>
      <w:bookmarkStart w:id="9" w:name="_Toc37200989"/>
      <w:bookmarkStart w:id="10" w:name="_Toc46492855"/>
      <w:bookmarkStart w:id="11" w:name="_Toc52568386"/>
      <w:bookmarkStart w:id="12" w:name="_Toc100944953"/>
      <w:bookmarkStart w:id="13" w:name="_Toc5707112"/>
      <w:bookmarkStart w:id="14" w:name="_Toc20428260"/>
      <w:r w:rsidRPr="008D0491">
        <w:rPr>
          <w:rFonts w:eastAsia="Times New Roman"/>
          <w:sz w:val="32"/>
          <w:szCs w:val="20"/>
          <w:lang w:eastAsia="ja-JP"/>
        </w:rPr>
        <w:lastRenderedPageBreak/>
        <w:t>13.2</w:t>
      </w:r>
      <w:r w:rsidRPr="008D0491">
        <w:rPr>
          <w:rFonts w:eastAsia="Times New Roman"/>
          <w:sz w:val="32"/>
          <w:szCs w:val="20"/>
          <w:lang w:eastAsia="ja-JP"/>
        </w:rPr>
        <w:tab/>
      </w:r>
      <w:proofErr w:type="spellStart"/>
      <w:r w:rsidRPr="008D0491">
        <w:rPr>
          <w:rFonts w:eastAsia="Times New Roman"/>
          <w:sz w:val="32"/>
          <w:szCs w:val="20"/>
          <w:lang w:eastAsia="ja-JP"/>
        </w:rPr>
        <w:t>Sidelink</w:t>
      </w:r>
      <w:bookmarkEnd w:id="9"/>
      <w:bookmarkEnd w:id="10"/>
      <w:bookmarkEnd w:id="11"/>
      <w:bookmarkEnd w:id="12"/>
      <w:proofErr w:type="spellEnd"/>
    </w:p>
    <w:p w14:paraId="7F39AFE5" w14:textId="77777777" w:rsidR="008D0491" w:rsidRPr="008D0491" w:rsidRDefault="008D0491" w:rsidP="008D0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/>
          <w:szCs w:val="20"/>
          <w:lang w:eastAsia="ja-JP"/>
        </w:rPr>
      </w:pPr>
      <w:r w:rsidRPr="008D0491">
        <w:rPr>
          <w:rFonts w:ascii="Times New Roman" w:eastAsia="Times New Roman" w:hAnsi="Times New Roman"/>
          <w:szCs w:val="20"/>
          <w:lang w:eastAsia="ja-JP"/>
        </w:rPr>
        <w:t xml:space="preserve">NR </w:t>
      </w:r>
      <w:proofErr w:type="spellStart"/>
      <w:r w:rsidRPr="008D0491">
        <w:rPr>
          <w:rFonts w:ascii="Times New Roman" w:eastAsia="Times New Roman" w:hAnsi="Times New Roman"/>
          <w:szCs w:val="20"/>
          <w:lang w:eastAsia="ja-JP"/>
        </w:rPr>
        <w:t>Sidelink</w:t>
      </w:r>
      <w:proofErr w:type="spellEnd"/>
      <w:r w:rsidRPr="008D0491">
        <w:rPr>
          <w:rFonts w:ascii="Times New Roman" w:eastAsia="Times New Roman" w:hAnsi="Times New Roman"/>
          <w:szCs w:val="20"/>
          <w:lang w:eastAsia="ja-JP"/>
        </w:rPr>
        <w:t xml:space="preserve"> Communication and V2X </w:t>
      </w:r>
      <w:proofErr w:type="spellStart"/>
      <w:r w:rsidRPr="008D0491">
        <w:rPr>
          <w:rFonts w:ascii="Times New Roman" w:eastAsia="Times New Roman" w:hAnsi="Times New Roman"/>
          <w:szCs w:val="20"/>
          <w:lang w:eastAsia="ja-JP"/>
        </w:rPr>
        <w:t>Sidelink</w:t>
      </w:r>
      <w:proofErr w:type="spellEnd"/>
      <w:r w:rsidRPr="008D0491">
        <w:rPr>
          <w:rFonts w:ascii="Times New Roman" w:eastAsia="Times New Roman" w:hAnsi="Times New Roman"/>
          <w:szCs w:val="20"/>
          <w:lang w:eastAsia="ja-JP"/>
        </w:rPr>
        <w:t xml:space="preserve"> Communication cannot be configured in MR-DC in this release.</w:t>
      </w:r>
      <w:bookmarkEnd w:id="13"/>
      <w:bookmarkEnd w:id="14"/>
    </w:p>
    <w:p w14:paraId="0ED4A91E" w14:textId="606ADBFF" w:rsidR="008D0491" w:rsidRDefault="008D0491" w:rsidP="00304046">
      <w:r>
        <w:t xml:space="preserve">And in </w:t>
      </w:r>
      <w:r w:rsidR="00841B61">
        <w:t xml:space="preserve">more </w:t>
      </w:r>
      <w:r>
        <w:t>details</w:t>
      </w:r>
    </w:p>
    <w:p w14:paraId="77F32B38" w14:textId="7E86A47E" w:rsidR="008D0491" w:rsidRDefault="008D0491" w:rsidP="008D0491">
      <w:pPr>
        <w:pStyle w:val="aff4"/>
        <w:numPr>
          <w:ilvl w:val="0"/>
          <w:numId w:val="48"/>
        </w:numPr>
        <w:contextualSpacing w:val="0"/>
      </w:pPr>
      <w:r>
        <w:t xml:space="preserve">In legacy, NR-UL / NR-SL prioritization </w:t>
      </w:r>
      <w:r w:rsidR="00841B61">
        <w:t>wa</w:t>
      </w:r>
      <w:r>
        <w:t xml:space="preserve">s specified by assuming </w:t>
      </w:r>
      <w:r w:rsidR="00841B61">
        <w:t xml:space="preserve">the </w:t>
      </w:r>
      <w:r>
        <w:t xml:space="preserve">same MAC, how to solve the prioritization across CGs is a new question to answer (NOTE that the prioritization is a joint RAN1/PHY and RAN2/MAC effort since LTE </w:t>
      </w:r>
      <w:proofErr w:type="spellStart"/>
      <w:r>
        <w:t>sidelink</w:t>
      </w:r>
      <w:proofErr w:type="spellEnd"/>
      <w:proofErr w:type="gramStart"/>
      <w:r>
        <w:t>);</w:t>
      </w:r>
      <w:proofErr w:type="gramEnd"/>
    </w:p>
    <w:p w14:paraId="610F37A6" w14:textId="0E617455" w:rsidR="008D0491" w:rsidRPr="008D0491" w:rsidRDefault="008D0491" w:rsidP="008D0491">
      <w:pPr>
        <w:pStyle w:val="aff4"/>
        <w:numPr>
          <w:ilvl w:val="0"/>
          <w:numId w:val="48"/>
        </w:numPr>
        <w:contextualSpacing w:val="0"/>
      </w:pPr>
      <w:r>
        <w:rPr>
          <w:rFonts w:hint="eastAsia"/>
        </w:rPr>
        <w:t>I</w:t>
      </w:r>
      <w:r>
        <w:t xml:space="preserve">n legacy, NR-UL / NR-SL power split is defined by RAN1 without considering SCG existence, i.e., the rule is simply to allocate power to </w:t>
      </w:r>
      <w:r w:rsidR="00841B61">
        <w:t>high-</w:t>
      </w:r>
      <w:r>
        <w:t xml:space="preserve">priority links (between UL and SL). If we bring CG concept in, the interaction with MCG/SCG power split is to be further considered, i.e., the impact due to </w:t>
      </w:r>
      <w:r w:rsidRPr="008D0491">
        <w:rPr>
          <w:i/>
          <w:iCs/>
        </w:rPr>
        <w:t>nrdc-PCmode-FR1/2</w:t>
      </w:r>
      <w:r>
        <w:t xml:space="preserve"> and </w:t>
      </w:r>
      <w:r w:rsidRPr="00D27B1E">
        <w:rPr>
          <w:i/>
          <w:lang w:eastAsia="ja-JP"/>
        </w:rPr>
        <w:t>p-NR-FR1</w:t>
      </w:r>
      <w:r>
        <w:rPr>
          <w:i/>
          <w:lang w:eastAsia="ja-JP"/>
        </w:rPr>
        <w:t>/2</w:t>
      </w:r>
      <w:r>
        <w:rPr>
          <w:iCs/>
          <w:lang w:eastAsia="ja-JP"/>
        </w:rPr>
        <w:t xml:space="preserve">. </w:t>
      </w:r>
    </w:p>
    <w:p w14:paraId="7090AACF" w14:textId="77777777" w:rsidR="008D0491" w:rsidRPr="008D0491" w:rsidRDefault="008D0491" w:rsidP="008D0491">
      <w:pPr>
        <w:pStyle w:val="aff4"/>
        <w:numPr>
          <w:ilvl w:val="0"/>
          <w:numId w:val="48"/>
        </w:numPr>
        <w:contextualSpacing w:val="0"/>
      </w:pPr>
      <w:r>
        <w:rPr>
          <w:rFonts w:hint="eastAsia"/>
          <w:iCs/>
        </w:rPr>
        <w:t>I</w:t>
      </w:r>
      <w:r>
        <w:rPr>
          <w:iCs/>
        </w:rPr>
        <w:t xml:space="preserve">n legacy, NR-UL / NR-SL band combination pairing was designed without considering SCG existence, i.e., it is questionable that when the current capability indicates a pairing of a </w:t>
      </w:r>
      <w:proofErr w:type="spellStart"/>
      <w:r>
        <w:rPr>
          <w:iCs/>
        </w:rPr>
        <w:t>Uu</w:t>
      </w:r>
      <w:proofErr w:type="spellEnd"/>
      <w:r>
        <w:rPr>
          <w:iCs/>
        </w:rPr>
        <w:t xml:space="preserve">-BC and a PC5-BC, whether it is CG configuration agnostic or not. </w:t>
      </w:r>
    </w:p>
    <w:p w14:paraId="67A11DBB" w14:textId="1C3FBBC1" w:rsidR="008D0491" w:rsidRDefault="008D0491" w:rsidP="008D0491">
      <w:pPr>
        <w:rPr>
          <w:iCs/>
        </w:rPr>
      </w:pPr>
      <w:r>
        <w:rPr>
          <w:iCs/>
        </w:rPr>
        <w:t xml:space="preserve">All these issues cannot be simply confirmed in R2. </w:t>
      </w:r>
    </w:p>
    <w:p w14:paraId="5412A644" w14:textId="3E63EF52" w:rsidR="00841B61" w:rsidRPr="00841B61" w:rsidRDefault="00841B61" w:rsidP="00F64261">
      <w:pPr>
        <w:pStyle w:val="Observation"/>
        <w:numPr>
          <w:ilvl w:val="0"/>
          <w:numId w:val="51"/>
        </w:numPr>
        <w:spacing w:before="120"/>
        <w:rPr>
          <w:iCs/>
        </w:rPr>
      </w:pPr>
      <w:bookmarkStart w:id="15" w:name="_Toc118292922"/>
      <w:r>
        <w:t xml:space="preserve">The legacy </w:t>
      </w:r>
      <w:proofErr w:type="spellStart"/>
      <w:r>
        <w:t>sidelink</w:t>
      </w:r>
      <w:proofErr w:type="spellEnd"/>
      <w:r>
        <w:t xml:space="preserve"> design cannot enable ‘MCG </w:t>
      </w:r>
      <w:proofErr w:type="spellStart"/>
      <w:r>
        <w:t>Uu</w:t>
      </w:r>
      <w:proofErr w:type="spellEnd"/>
      <w:r>
        <w:t xml:space="preserve"> + SCG PC5’ or ‘SCG </w:t>
      </w:r>
      <w:proofErr w:type="spellStart"/>
      <w:r>
        <w:t>Uu</w:t>
      </w:r>
      <w:proofErr w:type="spellEnd"/>
      <w:r>
        <w:t xml:space="preserve"> + MCG PC5’.</w:t>
      </w:r>
      <w:bookmarkEnd w:id="15"/>
      <w:r w:rsidRPr="00841B61">
        <w:rPr>
          <w:iCs/>
        </w:rPr>
        <w:t xml:space="preserve"> </w:t>
      </w:r>
    </w:p>
    <w:p w14:paraId="3E0AB606" w14:textId="37FCF3E2" w:rsidR="008D0491" w:rsidRDefault="008D0491" w:rsidP="008D0491">
      <w:r>
        <w:rPr>
          <w:rFonts w:hint="eastAsia"/>
        </w:rPr>
        <w:t>S</w:t>
      </w:r>
      <w:r>
        <w:t>o</w:t>
      </w:r>
      <w:r w:rsidR="00841B61">
        <w:t xml:space="preserve"> back to the concrete </w:t>
      </w:r>
      <w:proofErr w:type="spellStart"/>
      <w:r w:rsidR="00841B61">
        <w:t>PCell</w:t>
      </w:r>
      <w:proofErr w:type="spellEnd"/>
      <w:r w:rsidR="00841B61">
        <w:t xml:space="preserve"> location issue, we can</w:t>
      </w:r>
      <w:r>
        <w:t xml:space="preserve"> summarize our observation so far:</w:t>
      </w:r>
      <w:r w:rsidR="00841B61">
        <w:t xml:space="preserve"> </w:t>
      </w:r>
    </w:p>
    <w:p w14:paraId="2A730AF2" w14:textId="16B1A076" w:rsidR="00841B61" w:rsidRDefault="00841B61" w:rsidP="00F64261">
      <w:pPr>
        <w:pStyle w:val="aff2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Impact analysis for different (modelling) solutions for </w:t>
      </w:r>
      <w:proofErr w:type="spellStart"/>
      <w:r>
        <w:t>PCell</w:t>
      </w:r>
      <w:proofErr w:type="spellEnd"/>
      <w:r>
        <w:t xml:space="preserve"> location</w:t>
      </w:r>
    </w:p>
    <w:tbl>
      <w:tblPr>
        <w:tblStyle w:val="aff9"/>
        <w:tblW w:w="9628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085FB7" w:rsidRPr="00841B61" w14:paraId="6B5F332E" w14:textId="77777777" w:rsidTr="00085FB7">
        <w:tc>
          <w:tcPr>
            <w:tcW w:w="2407" w:type="dxa"/>
          </w:tcPr>
          <w:p w14:paraId="76212775" w14:textId="77777777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</w:p>
        </w:tc>
        <w:tc>
          <w:tcPr>
            <w:tcW w:w="2407" w:type="dxa"/>
          </w:tcPr>
          <w:p w14:paraId="70F3A22C" w14:textId="6A8AA561" w:rsidR="00085FB7" w:rsidRPr="00F64261" w:rsidRDefault="00841B61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Solution-1: </w:t>
            </w:r>
            <w:r w:rsidR="00085FB7" w:rsidRPr="00F64261">
              <w:rPr>
                <w:sz w:val="18"/>
                <w:szCs w:val="21"/>
              </w:rPr>
              <w:t>Model MP Relay using DC modelling</w:t>
            </w:r>
          </w:p>
        </w:tc>
        <w:tc>
          <w:tcPr>
            <w:tcW w:w="2407" w:type="dxa"/>
          </w:tcPr>
          <w:p w14:paraId="4DA156C3" w14:textId="342CFF1C" w:rsidR="00085FB7" w:rsidRPr="00F64261" w:rsidRDefault="00841B61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Solution-2: </w:t>
            </w:r>
            <w:r w:rsidR="00085FB7" w:rsidRPr="00F64261">
              <w:rPr>
                <w:sz w:val="18"/>
                <w:szCs w:val="21"/>
              </w:rPr>
              <w:t xml:space="preserve">Not model MP Relay using DC modelling, yet mandate </w:t>
            </w:r>
            <w:proofErr w:type="spellStart"/>
            <w:r w:rsidR="00085FB7" w:rsidRPr="00F64261">
              <w:rPr>
                <w:sz w:val="18"/>
                <w:szCs w:val="21"/>
              </w:rPr>
              <w:t>PCell</w:t>
            </w:r>
            <w:proofErr w:type="spellEnd"/>
            <w:r w:rsidR="00085FB7" w:rsidRPr="00F64261">
              <w:rPr>
                <w:sz w:val="18"/>
                <w:szCs w:val="21"/>
              </w:rPr>
              <w:t xml:space="preserve"> on the direct path</w:t>
            </w:r>
          </w:p>
        </w:tc>
        <w:tc>
          <w:tcPr>
            <w:tcW w:w="2407" w:type="dxa"/>
          </w:tcPr>
          <w:p w14:paraId="418A5C85" w14:textId="7EF0FC41" w:rsidR="00085FB7" w:rsidRPr="00F64261" w:rsidRDefault="00841B61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Solution-3: </w:t>
            </w:r>
            <w:r w:rsidR="00085FB7" w:rsidRPr="00F64261">
              <w:rPr>
                <w:sz w:val="18"/>
                <w:szCs w:val="21"/>
              </w:rPr>
              <w:t xml:space="preserve">Not model MP Relay using DC modelling, and does not mandate </w:t>
            </w:r>
            <w:proofErr w:type="spellStart"/>
            <w:r w:rsidR="00085FB7" w:rsidRPr="00F64261">
              <w:rPr>
                <w:sz w:val="18"/>
                <w:szCs w:val="21"/>
              </w:rPr>
              <w:t>PCell</w:t>
            </w:r>
            <w:proofErr w:type="spellEnd"/>
            <w:r w:rsidR="00085FB7" w:rsidRPr="00F64261">
              <w:rPr>
                <w:sz w:val="18"/>
                <w:szCs w:val="21"/>
              </w:rPr>
              <w:t xml:space="preserve"> on the indirect path</w:t>
            </w:r>
          </w:p>
        </w:tc>
      </w:tr>
      <w:tr w:rsidR="00085FB7" w:rsidRPr="00841B61" w14:paraId="29392F37" w14:textId="77777777" w:rsidTr="00444CDA">
        <w:tc>
          <w:tcPr>
            <w:tcW w:w="2407" w:type="dxa"/>
          </w:tcPr>
          <w:p w14:paraId="1045B638" w14:textId="5C0788A8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 w:rsidRPr="00F64261">
              <w:rPr>
                <w:sz w:val="18"/>
                <w:szCs w:val="21"/>
              </w:rPr>
              <w:t>Same Cell for the two paths</w:t>
            </w:r>
          </w:p>
        </w:tc>
        <w:tc>
          <w:tcPr>
            <w:tcW w:w="2407" w:type="dxa"/>
          </w:tcPr>
          <w:p w14:paraId="5D6C3F1C" w14:textId="7E24E576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 w:rsidRPr="00F64261">
              <w:rPr>
                <w:color w:val="FF0000"/>
                <w:sz w:val="18"/>
                <w:szCs w:val="21"/>
              </w:rPr>
              <w:t xml:space="preserve">A new DC scenario of </w:t>
            </w:r>
            <w:r w:rsidR="00841B61" w:rsidRPr="00841B61">
              <w:rPr>
                <w:color w:val="FF0000"/>
                <w:sz w:val="18"/>
                <w:szCs w:val="21"/>
              </w:rPr>
              <w:t xml:space="preserve">where </w:t>
            </w:r>
            <w:proofErr w:type="spellStart"/>
            <w:r w:rsidR="00841B61" w:rsidRPr="00841B61">
              <w:rPr>
                <w:color w:val="FF0000"/>
                <w:sz w:val="18"/>
                <w:szCs w:val="21"/>
              </w:rPr>
              <w:t>SpCell</w:t>
            </w:r>
            <w:proofErr w:type="spellEnd"/>
            <w:r w:rsidR="00841B61" w:rsidRPr="00841B61">
              <w:rPr>
                <w:color w:val="FF0000"/>
                <w:sz w:val="18"/>
                <w:szCs w:val="21"/>
              </w:rPr>
              <w:t xml:space="preserve"> of one CG = a serving Cell (</w:t>
            </w:r>
            <w:proofErr w:type="spellStart"/>
            <w:r w:rsidR="00841B61" w:rsidRPr="00841B61">
              <w:rPr>
                <w:color w:val="FF0000"/>
                <w:sz w:val="18"/>
                <w:szCs w:val="21"/>
              </w:rPr>
              <w:t>SpCell</w:t>
            </w:r>
            <w:proofErr w:type="spellEnd"/>
            <w:r w:rsidR="00841B61" w:rsidRPr="00841B61">
              <w:rPr>
                <w:color w:val="FF0000"/>
                <w:sz w:val="18"/>
                <w:szCs w:val="21"/>
              </w:rPr>
              <w:t xml:space="preserve"> or </w:t>
            </w:r>
            <w:proofErr w:type="spellStart"/>
            <w:r w:rsidR="00841B61" w:rsidRPr="00841B61">
              <w:rPr>
                <w:color w:val="FF0000"/>
                <w:sz w:val="18"/>
                <w:szCs w:val="21"/>
              </w:rPr>
              <w:t>SCell</w:t>
            </w:r>
            <w:proofErr w:type="spellEnd"/>
            <w:r w:rsidR="00841B61" w:rsidRPr="00841B61">
              <w:rPr>
                <w:color w:val="FF0000"/>
                <w:sz w:val="18"/>
                <w:szCs w:val="21"/>
              </w:rPr>
              <w:t>) or another CG</w:t>
            </w:r>
          </w:p>
        </w:tc>
        <w:tc>
          <w:tcPr>
            <w:tcW w:w="4814" w:type="dxa"/>
            <w:gridSpan w:val="2"/>
          </w:tcPr>
          <w:p w14:paraId="3F502333" w14:textId="61EAADF3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 w:rsidRPr="00F64261">
              <w:rPr>
                <w:color w:val="00B050"/>
                <w:sz w:val="18"/>
                <w:szCs w:val="21"/>
              </w:rPr>
              <w:t xml:space="preserve">No difference between the two options: No left issue, the related procedure can be handled as intra-frequency </w:t>
            </w:r>
            <w:proofErr w:type="spellStart"/>
            <w:r w:rsidRPr="00F64261">
              <w:rPr>
                <w:color w:val="00B050"/>
                <w:sz w:val="18"/>
                <w:szCs w:val="21"/>
              </w:rPr>
              <w:t>sidelink</w:t>
            </w:r>
            <w:proofErr w:type="spellEnd"/>
            <w:r w:rsidRPr="00F64261">
              <w:rPr>
                <w:color w:val="00B050"/>
                <w:sz w:val="18"/>
                <w:szCs w:val="21"/>
              </w:rPr>
              <w:t xml:space="preserve"> using legacy spec</w:t>
            </w:r>
          </w:p>
        </w:tc>
      </w:tr>
      <w:tr w:rsidR="00085FB7" w:rsidRPr="00841B61" w14:paraId="0A0AFAFB" w14:textId="77777777" w:rsidTr="00085FB7">
        <w:tc>
          <w:tcPr>
            <w:tcW w:w="2407" w:type="dxa"/>
          </w:tcPr>
          <w:p w14:paraId="787C0EE5" w14:textId="5BA59EA8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 w:rsidRPr="00F64261">
              <w:rPr>
                <w:sz w:val="18"/>
                <w:szCs w:val="21"/>
              </w:rPr>
              <w:t>Different Cells for the two paths</w:t>
            </w:r>
          </w:p>
        </w:tc>
        <w:tc>
          <w:tcPr>
            <w:tcW w:w="2407" w:type="dxa"/>
          </w:tcPr>
          <w:p w14:paraId="7BC48751" w14:textId="77777777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color w:val="FF0000"/>
                <w:sz w:val="18"/>
                <w:szCs w:val="21"/>
              </w:rPr>
            </w:pPr>
            <w:r w:rsidRPr="00F64261">
              <w:rPr>
                <w:color w:val="FF0000"/>
                <w:sz w:val="18"/>
                <w:szCs w:val="21"/>
              </w:rPr>
              <w:t xml:space="preserve">Left R1/R4 issues to enable ‘MCG </w:t>
            </w:r>
            <w:proofErr w:type="spellStart"/>
            <w:r w:rsidRPr="00F64261">
              <w:rPr>
                <w:color w:val="FF0000"/>
                <w:sz w:val="18"/>
                <w:szCs w:val="21"/>
              </w:rPr>
              <w:t>Uu</w:t>
            </w:r>
            <w:proofErr w:type="spellEnd"/>
            <w:r w:rsidRPr="00F64261">
              <w:rPr>
                <w:color w:val="FF0000"/>
                <w:sz w:val="18"/>
                <w:szCs w:val="21"/>
              </w:rPr>
              <w:t xml:space="preserve"> + SCG PC5’ or ‘SCG </w:t>
            </w:r>
            <w:proofErr w:type="spellStart"/>
            <w:r w:rsidRPr="00F64261">
              <w:rPr>
                <w:color w:val="FF0000"/>
                <w:sz w:val="18"/>
                <w:szCs w:val="21"/>
              </w:rPr>
              <w:t>Uu</w:t>
            </w:r>
            <w:proofErr w:type="spellEnd"/>
            <w:r w:rsidRPr="00F64261">
              <w:rPr>
                <w:color w:val="FF0000"/>
                <w:sz w:val="18"/>
                <w:szCs w:val="21"/>
              </w:rPr>
              <w:t xml:space="preserve"> + MCG PC5’</w:t>
            </w:r>
          </w:p>
          <w:p w14:paraId="3D882B08" w14:textId="076410B0" w:rsidR="00085FB7" w:rsidRDefault="00085FB7" w:rsidP="00841B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color w:val="FF0000"/>
                <w:sz w:val="18"/>
                <w:szCs w:val="21"/>
              </w:rPr>
            </w:pPr>
          </w:p>
          <w:p w14:paraId="24E0D9AD" w14:textId="77777777" w:rsidR="00841B61" w:rsidRPr="00F64261" w:rsidRDefault="00841B61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color w:val="FF0000"/>
                <w:sz w:val="18"/>
                <w:szCs w:val="21"/>
              </w:rPr>
            </w:pPr>
          </w:p>
          <w:p w14:paraId="4A5468D2" w14:textId="2BE7AE72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 w:rsidRPr="00F64261">
              <w:rPr>
                <w:color w:val="00B050"/>
                <w:sz w:val="18"/>
                <w:szCs w:val="21"/>
              </w:rPr>
              <w:t xml:space="preserve">No need to mandate the </w:t>
            </w:r>
            <w:proofErr w:type="spellStart"/>
            <w:r w:rsidRPr="00F64261">
              <w:rPr>
                <w:color w:val="00B050"/>
                <w:sz w:val="18"/>
                <w:szCs w:val="21"/>
              </w:rPr>
              <w:t>PCell</w:t>
            </w:r>
            <w:proofErr w:type="spellEnd"/>
            <w:r w:rsidRPr="00F64261">
              <w:rPr>
                <w:color w:val="00B050"/>
                <w:sz w:val="18"/>
                <w:szCs w:val="21"/>
              </w:rPr>
              <w:t xml:space="preserve"> change upon direct path addition</w:t>
            </w:r>
          </w:p>
        </w:tc>
        <w:tc>
          <w:tcPr>
            <w:tcW w:w="2407" w:type="dxa"/>
          </w:tcPr>
          <w:p w14:paraId="721C0B66" w14:textId="77777777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color w:val="00B050"/>
                <w:sz w:val="18"/>
                <w:szCs w:val="21"/>
              </w:rPr>
            </w:pPr>
            <w:r w:rsidRPr="00F64261">
              <w:rPr>
                <w:color w:val="00B050"/>
                <w:sz w:val="18"/>
                <w:szCs w:val="21"/>
              </w:rPr>
              <w:t xml:space="preserve">No left R1/4 issue </w:t>
            </w:r>
          </w:p>
          <w:p w14:paraId="38EE4CE7" w14:textId="77777777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</w:p>
          <w:p w14:paraId="290915B5" w14:textId="77777777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</w:p>
          <w:p w14:paraId="5C9287C9" w14:textId="55ECEDD4" w:rsidR="00085FB7" w:rsidRDefault="00085FB7" w:rsidP="00841B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</w:p>
          <w:p w14:paraId="7D6CB83A" w14:textId="77777777" w:rsidR="00841B61" w:rsidRPr="00F64261" w:rsidRDefault="00841B61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</w:p>
          <w:p w14:paraId="23460B4B" w14:textId="7C700B59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 w:rsidRPr="00F64261">
              <w:rPr>
                <w:color w:val="FF0000"/>
                <w:sz w:val="18"/>
                <w:szCs w:val="21"/>
              </w:rPr>
              <w:t xml:space="preserve">Yet with the cost of mandating </w:t>
            </w:r>
            <w:proofErr w:type="spellStart"/>
            <w:r w:rsidRPr="00F64261">
              <w:rPr>
                <w:color w:val="FF0000"/>
                <w:sz w:val="18"/>
                <w:szCs w:val="21"/>
              </w:rPr>
              <w:t>PCell</w:t>
            </w:r>
            <w:proofErr w:type="spellEnd"/>
            <w:r w:rsidRPr="00F64261">
              <w:rPr>
                <w:color w:val="FF0000"/>
                <w:sz w:val="18"/>
                <w:szCs w:val="21"/>
              </w:rPr>
              <w:t xml:space="preserve"> change upon direct path addition.</w:t>
            </w:r>
          </w:p>
        </w:tc>
        <w:tc>
          <w:tcPr>
            <w:tcW w:w="2407" w:type="dxa"/>
          </w:tcPr>
          <w:p w14:paraId="717053A9" w14:textId="77777777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color w:val="FF0000"/>
                <w:sz w:val="18"/>
                <w:szCs w:val="21"/>
              </w:rPr>
            </w:pPr>
            <w:r w:rsidRPr="00F64261">
              <w:rPr>
                <w:color w:val="FF0000"/>
                <w:sz w:val="18"/>
                <w:szCs w:val="21"/>
              </w:rPr>
              <w:t xml:space="preserve">Left R1/4 issue to allow PUCCH reporting, RLM, and RACH procedure on a </w:t>
            </w:r>
            <w:proofErr w:type="spellStart"/>
            <w:r w:rsidRPr="00F64261">
              <w:rPr>
                <w:color w:val="FF0000"/>
                <w:sz w:val="18"/>
                <w:szCs w:val="21"/>
              </w:rPr>
              <w:t>SCell</w:t>
            </w:r>
            <w:proofErr w:type="spellEnd"/>
            <w:r w:rsidRPr="00F64261">
              <w:rPr>
                <w:color w:val="FF0000"/>
                <w:sz w:val="18"/>
                <w:szCs w:val="21"/>
              </w:rPr>
              <w:t xml:space="preserve">. </w:t>
            </w:r>
          </w:p>
          <w:p w14:paraId="657B375F" w14:textId="77777777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color w:val="00B050"/>
                <w:sz w:val="18"/>
                <w:szCs w:val="21"/>
              </w:rPr>
            </w:pPr>
          </w:p>
          <w:p w14:paraId="512C0F44" w14:textId="4A316EFA" w:rsidR="00085FB7" w:rsidRPr="00F64261" w:rsidRDefault="00085FB7" w:rsidP="00F642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sz w:val="18"/>
                <w:szCs w:val="21"/>
              </w:rPr>
            </w:pPr>
            <w:r w:rsidRPr="00F64261">
              <w:rPr>
                <w:color w:val="00B050"/>
                <w:sz w:val="18"/>
                <w:szCs w:val="21"/>
              </w:rPr>
              <w:t xml:space="preserve">No need to mandate the </w:t>
            </w:r>
            <w:proofErr w:type="spellStart"/>
            <w:r w:rsidRPr="00F64261">
              <w:rPr>
                <w:color w:val="00B050"/>
                <w:sz w:val="18"/>
                <w:szCs w:val="21"/>
              </w:rPr>
              <w:t>PCell</w:t>
            </w:r>
            <w:proofErr w:type="spellEnd"/>
            <w:r w:rsidRPr="00F64261">
              <w:rPr>
                <w:color w:val="00B050"/>
                <w:sz w:val="18"/>
                <w:szCs w:val="21"/>
              </w:rPr>
              <w:t xml:space="preserve"> change upon direct path addition</w:t>
            </w:r>
          </w:p>
        </w:tc>
      </w:tr>
    </w:tbl>
    <w:p w14:paraId="6D6FEA58" w14:textId="6E7D3FB0" w:rsidR="00841B61" w:rsidRDefault="00841B61" w:rsidP="00841B61">
      <w:pPr>
        <w:spacing w:beforeLines="50" w:before="120"/>
      </w:pPr>
      <w:bookmarkStart w:id="16" w:name="_Toc117156438"/>
      <w:r>
        <w:t xml:space="preserve">Between solution-1 and solution-2, it is a selection between R1/R4 impact to enable </w:t>
      </w:r>
      <w:r w:rsidRPr="00841B61">
        <w:rPr>
          <w:rFonts w:hint="eastAsia"/>
        </w:rPr>
        <w:t>‘</w:t>
      </w:r>
      <w:r w:rsidRPr="00841B61">
        <w:t xml:space="preserve">MCG </w:t>
      </w:r>
      <w:proofErr w:type="spellStart"/>
      <w:r w:rsidRPr="00841B61">
        <w:t>Uu</w:t>
      </w:r>
      <w:proofErr w:type="spellEnd"/>
      <w:r w:rsidRPr="00841B61">
        <w:t xml:space="preserve"> + SCG PC5’ </w:t>
      </w:r>
      <w:r>
        <w:t>/</w:t>
      </w:r>
      <w:r w:rsidRPr="00841B61">
        <w:t xml:space="preserve"> ‘SCG </w:t>
      </w:r>
      <w:proofErr w:type="spellStart"/>
      <w:r w:rsidRPr="00841B61">
        <w:t>Uu</w:t>
      </w:r>
      <w:proofErr w:type="spellEnd"/>
      <w:r w:rsidRPr="00841B61">
        <w:t xml:space="preserve"> + MCG PC5’</w:t>
      </w:r>
      <w:r>
        <w:t xml:space="preserve"> and configuration inflexibility of mandating </w:t>
      </w:r>
      <w:proofErr w:type="spellStart"/>
      <w:r>
        <w:t>PCell</w:t>
      </w:r>
      <w:proofErr w:type="spellEnd"/>
      <w:r>
        <w:t xml:space="preserve"> at direct path. </w:t>
      </w:r>
    </w:p>
    <w:p w14:paraId="56012F35" w14:textId="4CF2FF28" w:rsidR="00841B61" w:rsidRDefault="00841B61" w:rsidP="00841B61">
      <w:pPr>
        <w:spacing w:beforeLines="50" w:before="120"/>
      </w:pPr>
      <w:r>
        <w:rPr>
          <w:rFonts w:hint="eastAsia"/>
        </w:rPr>
        <w:t>B</w:t>
      </w:r>
      <w:r>
        <w:t>etween solution-1 and solution-3, it is a selection between different types of R1/4 impact.</w:t>
      </w:r>
    </w:p>
    <w:p w14:paraId="21337F45" w14:textId="1C79036E" w:rsidR="00841B61" w:rsidRPr="00841B61" w:rsidRDefault="00841B61" w:rsidP="00F64261">
      <w:pPr>
        <w:spacing w:beforeLines="50" w:before="120"/>
      </w:pPr>
      <w:r>
        <w:rPr>
          <w:rFonts w:hint="eastAsia"/>
        </w:rPr>
        <w:t>W</w:t>
      </w:r>
      <w:r>
        <w:t xml:space="preserve">e expect a R2 decision after all these major R1/4 impacts have been </w:t>
      </w:r>
      <w:proofErr w:type="gramStart"/>
      <w:r>
        <w:t>taken into account</w:t>
      </w:r>
      <w:proofErr w:type="gramEnd"/>
      <w:r>
        <w:t xml:space="preserve"> thoughtfully.</w:t>
      </w:r>
    </w:p>
    <w:p w14:paraId="3C0D0DD8" w14:textId="6B77C93C" w:rsidR="008D0491" w:rsidRDefault="008D0491" w:rsidP="008D0491">
      <w:pPr>
        <w:pStyle w:val="Proposal"/>
        <w:spacing w:beforeLines="50" w:before="120"/>
      </w:pPr>
      <w:r>
        <w:rPr>
          <w:rFonts w:hint="eastAsia"/>
        </w:rPr>
        <w:t>W</w:t>
      </w:r>
      <w:r>
        <w:t xml:space="preserve">hen R2 decide on the applicability of </w:t>
      </w:r>
      <w:proofErr w:type="spellStart"/>
      <w:r>
        <w:t>PCell</w:t>
      </w:r>
      <w:proofErr w:type="spellEnd"/>
      <w:r>
        <w:t xml:space="preserve"> location on indirect path, takes R1/R4 impact into consideration.</w:t>
      </w:r>
      <w:bookmarkEnd w:id="16"/>
      <w:r>
        <w:t xml:space="preserve"> </w:t>
      </w:r>
    </w:p>
    <w:p w14:paraId="202BFB8F" w14:textId="533435B1" w:rsidR="00F35EAA" w:rsidRPr="00C66555" w:rsidRDefault="00F35EAA" w:rsidP="00C66555"/>
    <w:p w14:paraId="2E58CC51" w14:textId="77777777" w:rsidR="00FB3C9D" w:rsidRDefault="003D1DDD">
      <w:pPr>
        <w:pStyle w:val="1"/>
      </w:pPr>
      <w:r>
        <w:t>Conclusion</w:t>
      </w:r>
    </w:p>
    <w:p w14:paraId="7A4FE04F" w14:textId="3B5AF686" w:rsidR="00841B61" w:rsidRDefault="00841B61">
      <w:r>
        <w:rPr>
          <w:rFonts w:hint="eastAsia"/>
        </w:rPr>
        <w:t>W</w:t>
      </w:r>
      <w:r>
        <w:t>e have the following observations:</w:t>
      </w:r>
    </w:p>
    <w:p w14:paraId="0D9944F8" w14:textId="0F337442" w:rsidR="00F64261" w:rsidRDefault="00841B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18292920" w:history="1">
        <w:r w:rsidR="00F64261" w:rsidRPr="003804B5">
          <w:rPr>
            <w:rStyle w:val="af3"/>
            <w:noProof/>
          </w:rPr>
          <w:t>Observation 1</w:t>
        </w:r>
        <w:r w:rsidR="00F64261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F64261" w:rsidRPr="003804B5">
          <w:rPr>
            <w:rStyle w:val="af3"/>
            <w:noProof/>
          </w:rPr>
          <w:t>In [At-119bis][426], there were comments on adopting DC modelling when the issue of PCell location was discussed.</w:t>
        </w:r>
      </w:hyperlink>
    </w:p>
    <w:p w14:paraId="4BF79DB5" w14:textId="46B86C70" w:rsidR="00F64261" w:rsidRDefault="00F642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292921" w:history="1">
        <w:r w:rsidRPr="003804B5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804B5">
          <w:rPr>
            <w:rStyle w:val="af3"/>
            <w:noProof/>
          </w:rPr>
          <w:t>The legacy DC concept cannot handle the scenario where SpCell of one CG = a serving Cell (SpCell or SCell) of another CG.</w:t>
        </w:r>
      </w:hyperlink>
    </w:p>
    <w:p w14:paraId="756A0AC2" w14:textId="1FCCB7F2" w:rsidR="00F64261" w:rsidRDefault="00F6426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292922" w:history="1">
        <w:r w:rsidRPr="003804B5">
          <w:rPr>
            <w:rStyle w:val="af3"/>
            <w:iCs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804B5">
          <w:rPr>
            <w:rStyle w:val="af3"/>
            <w:noProof/>
          </w:rPr>
          <w:t>The legacy sidelink design cannot enable ‘MCG Uu + SCG PC5’ or ‘SCG Uu + MCG PC5’.</w:t>
        </w:r>
      </w:hyperlink>
    </w:p>
    <w:p w14:paraId="443353B0" w14:textId="002BA4CC" w:rsidR="00841B61" w:rsidRDefault="00841B61">
      <w:r>
        <w:fldChar w:fldCharType="end"/>
      </w:r>
    </w:p>
    <w:p w14:paraId="7962C03C" w14:textId="1A66F19D" w:rsidR="00FB3C9D" w:rsidRDefault="003D1DDD">
      <w:r>
        <w:t>We have the following proposals:</w:t>
      </w:r>
    </w:p>
    <w:p w14:paraId="700A942C" w14:textId="3FEDE210" w:rsidR="00085FB7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7156438" w:history="1">
        <w:r w:rsidR="00085FB7" w:rsidRPr="003549EB">
          <w:rPr>
            <w:rStyle w:val="af3"/>
            <w:noProof/>
          </w:rPr>
          <w:t>Proposal 1</w:t>
        </w:r>
        <w:r w:rsidR="00085FB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85FB7" w:rsidRPr="003549EB">
          <w:rPr>
            <w:rStyle w:val="af3"/>
            <w:noProof/>
          </w:rPr>
          <w:t>When R2 decide on the applicability of PCell location on indirect path, takes R1/R4 impact into consideration.</w:t>
        </w:r>
      </w:hyperlink>
    </w:p>
    <w:p w14:paraId="709E4DDE" w14:textId="60E343FC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66A80CB6" w14:textId="77777777" w:rsidR="00FB3C9D" w:rsidRDefault="00FB3C9D">
      <w:pPr>
        <w:rPr>
          <w:lang w:val="en-US"/>
        </w:rPr>
      </w:pPr>
      <w:bookmarkStart w:id="17" w:name="_In-sequence_SDU_delivery"/>
      <w:bookmarkEnd w:id="17"/>
    </w:p>
    <w:sectPr w:rsidR="00FB3C9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ED5E9" w14:textId="77777777" w:rsidR="003F0C66" w:rsidRDefault="003F0C66">
      <w:pPr>
        <w:spacing w:after="0"/>
      </w:pPr>
      <w:r>
        <w:separator/>
      </w:r>
    </w:p>
  </w:endnote>
  <w:endnote w:type="continuationSeparator" w:id="0">
    <w:p w14:paraId="2356987F" w14:textId="77777777" w:rsidR="003F0C66" w:rsidRDefault="003F0C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854C" w14:textId="77777777" w:rsidR="003F0C66" w:rsidRDefault="003F0C66">
      <w:pPr>
        <w:spacing w:after="0"/>
      </w:pPr>
      <w:r>
        <w:separator/>
      </w:r>
    </w:p>
  </w:footnote>
  <w:footnote w:type="continuationSeparator" w:id="0">
    <w:p w14:paraId="30AC2712" w14:textId="77777777" w:rsidR="003F0C66" w:rsidRDefault="003F0C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1E4C47"/>
    <w:multiLevelType w:val="hybridMultilevel"/>
    <w:tmpl w:val="27F8D9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A60D15"/>
    <w:multiLevelType w:val="hybridMultilevel"/>
    <w:tmpl w:val="03FE9454"/>
    <w:lvl w:ilvl="0" w:tplc="18A61C24">
      <w:start w:val="1"/>
      <w:numFmt w:val="upp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020AA"/>
    <w:multiLevelType w:val="hybridMultilevel"/>
    <w:tmpl w:val="C93A3EC6"/>
    <w:lvl w:ilvl="0" w:tplc="A992C54E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9203D"/>
    <w:multiLevelType w:val="hybridMultilevel"/>
    <w:tmpl w:val="668691BE"/>
    <w:lvl w:ilvl="0" w:tplc="929A8E4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num w:numId="1" w16cid:durableId="892429892">
    <w:abstractNumId w:val="11"/>
  </w:num>
  <w:num w:numId="2" w16cid:durableId="1636331786">
    <w:abstractNumId w:val="10"/>
  </w:num>
  <w:num w:numId="3" w16cid:durableId="440297961">
    <w:abstractNumId w:val="18"/>
  </w:num>
  <w:num w:numId="4" w16cid:durableId="901981716">
    <w:abstractNumId w:val="4"/>
  </w:num>
  <w:num w:numId="5" w16cid:durableId="879127730">
    <w:abstractNumId w:val="15"/>
  </w:num>
  <w:num w:numId="6" w16cid:durableId="2073233933">
    <w:abstractNumId w:val="6"/>
  </w:num>
  <w:num w:numId="7" w16cid:durableId="472675152">
    <w:abstractNumId w:val="5"/>
  </w:num>
  <w:num w:numId="8" w16cid:durableId="677342203">
    <w:abstractNumId w:val="14"/>
  </w:num>
  <w:num w:numId="9" w16cid:durableId="170683290">
    <w:abstractNumId w:val="16"/>
  </w:num>
  <w:num w:numId="10" w16cid:durableId="1147936923">
    <w:abstractNumId w:val="13"/>
  </w:num>
  <w:num w:numId="11" w16cid:durableId="2132700507">
    <w:abstractNumId w:val="8"/>
  </w:num>
  <w:num w:numId="12" w16cid:durableId="948201531">
    <w:abstractNumId w:val="0"/>
  </w:num>
  <w:num w:numId="13" w16cid:durableId="1651399546">
    <w:abstractNumId w:val="7"/>
  </w:num>
  <w:num w:numId="14" w16cid:durableId="1555503212">
    <w:abstractNumId w:val="17"/>
  </w:num>
  <w:num w:numId="15" w16cid:durableId="1049886967">
    <w:abstractNumId w:val="1"/>
  </w:num>
  <w:num w:numId="16" w16cid:durableId="1463501677">
    <w:abstractNumId w:val="0"/>
  </w:num>
  <w:num w:numId="17" w16cid:durableId="995183161">
    <w:abstractNumId w:val="0"/>
  </w:num>
  <w:num w:numId="18" w16cid:durableId="331841037">
    <w:abstractNumId w:val="3"/>
  </w:num>
  <w:num w:numId="19" w16cid:durableId="204604217">
    <w:abstractNumId w:val="11"/>
  </w:num>
  <w:num w:numId="20" w16cid:durableId="378628962">
    <w:abstractNumId w:val="11"/>
  </w:num>
  <w:num w:numId="21" w16cid:durableId="135421234">
    <w:abstractNumId w:val="11"/>
  </w:num>
  <w:num w:numId="22" w16cid:durableId="2131439068">
    <w:abstractNumId w:val="11"/>
  </w:num>
  <w:num w:numId="23" w16cid:durableId="979072891">
    <w:abstractNumId w:val="11"/>
  </w:num>
  <w:num w:numId="24" w16cid:durableId="1805926669">
    <w:abstractNumId w:val="11"/>
  </w:num>
  <w:num w:numId="25" w16cid:durableId="762341171">
    <w:abstractNumId w:val="11"/>
  </w:num>
  <w:num w:numId="26" w16cid:durableId="1744527838">
    <w:abstractNumId w:val="11"/>
  </w:num>
  <w:num w:numId="27" w16cid:durableId="802382395">
    <w:abstractNumId w:val="11"/>
  </w:num>
  <w:num w:numId="28" w16cid:durableId="274335407">
    <w:abstractNumId w:val="0"/>
  </w:num>
  <w:num w:numId="29" w16cid:durableId="1098334084">
    <w:abstractNumId w:val="0"/>
  </w:num>
  <w:num w:numId="30" w16cid:durableId="2139907871">
    <w:abstractNumId w:val="0"/>
  </w:num>
  <w:num w:numId="31" w16cid:durableId="1290864541">
    <w:abstractNumId w:val="0"/>
  </w:num>
  <w:num w:numId="32" w16cid:durableId="2043895072">
    <w:abstractNumId w:val="0"/>
  </w:num>
  <w:num w:numId="33" w16cid:durableId="1713770610">
    <w:abstractNumId w:val="0"/>
  </w:num>
  <w:num w:numId="34" w16cid:durableId="84502278">
    <w:abstractNumId w:val="0"/>
  </w:num>
  <w:num w:numId="35" w16cid:durableId="1135221568">
    <w:abstractNumId w:val="0"/>
  </w:num>
  <w:num w:numId="36" w16cid:durableId="709652811">
    <w:abstractNumId w:val="2"/>
  </w:num>
  <w:num w:numId="37" w16cid:durableId="213006160">
    <w:abstractNumId w:val="0"/>
  </w:num>
  <w:num w:numId="38" w16cid:durableId="825052381">
    <w:abstractNumId w:val="11"/>
  </w:num>
  <w:num w:numId="39" w16cid:durableId="947741767">
    <w:abstractNumId w:val="0"/>
  </w:num>
  <w:num w:numId="40" w16cid:durableId="493910015">
    <w:abstractNumId w:val="0"/>
  </w:num>
  <w:num w:numId="41" w16cid:durableId="1758790673">
    <w:abstractNumId w:val="0"/>
  </w:num>
  <w:num w:numId="42" w16cid:durableId="36050534">
    <w:abstractNumId w:val="11"/>
  </w:num>
  <w:num w:numId="43" w16cid:durableId="1153639676">
    <w:abstractNumId w:val="0"/>
  </w:num>
  <w:num w:numId="44" w16cid:durableId="1988433645">
    <w:abstractNumId w:val="19"/>
  </w:num>
  <w:num w:numId="45" w16cid:durableId="923874217">
    <w:abstractNumId w:val="11"/>
  </w:num>
  <w:num w:numId="46" w16cid:durableId="987897166">
    <w:abstractNumId w:val="11"/>
  </w:num>
  <w:num w:numId="47" w16cid:durableId="1146439024">
    <w:abstractNumId w:val="0"/>
  </w:num>
  <w:num w:numId="48" w16cid:durableId="1495492046">
    <w:abstractNumId w:val="9"/>
  </w:num>
  <w:num w:numId="49" w16cid:durableId="1605844938">
    <w:abstractNumId w:val="0"/>
  </w:num>
  <w:num w:numId="50" w16cid:durableId="2096634083">
    <w:abstractNumId w:val="12"/>
  </w:num>
  <w:num w:numId="51" w16cid:durableId="1759784343">
    <w:abstractNumId w:val="20"/>
  </w:num>
  <w:num w:numId="52" w16cid:durableId="407655470">
    <w:abstractNumId w:val="17"/>
  </w:num>
  <w:num w:numId="53" w16cid:durableId="17510188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qgFAE4gP/0tAAAA"/>
  </w:docVars>
  <w:rsids>
    <w:rsidRoot w:val="00FB3C9D"/>
    <w:rsid w:val="00015DBC"/>
    <w:rsid w:val="00017121"/>
    <w:rsid w:val="00034B3C"/>
    <w:rsid w:val="00041594"/>
    <w:rsid w:val="00044D3C"/>
    <w:rsid w:val="000571A8"/>
    <w:rsid w:val="00064493"/>
    <w:rsid w:val="00067045"/>
    <w:rsid w:val="00085FB7"/>
    <w:rsid w:val="000A221D"/>
    <w:rsid w:val="000B7A5D"/>
    <w:rsid w:val="000F2E9B"/>
    <w:rsid w:val="00107715"/>
    <w:rsid w:val="00136D1F"/>
    <w:rsid w:val="001446E7"/>
    <w:rsid w:val="00146E5B"/>
    <w:rsid w:val="001632EC"/>
    <w:rsid w:val="001B3D23"/>
    <w:rsid w:val="001B490B"/>
    <w:rsid w:val="001B64DA"/>
    <w:rsid w:val="001B7D1B"/>
    <w:rsid w:val="002034C4"/>
    <w:rsid w:val="00206961"/>
    <w:rsid w:val="002070B3"/>
    <w:rsid w:val="00210583"/>
    <w:rsid w:val="002110D8"/>
    <w:rsid w:val="00212650"/>
    <w:rsid w:val="002226D1"/>
    <w:rsid w:val="00231ED6"/>
    <w:rsid w:val="00257DD1"/>
    <w:rsid w:val="002713D3"/>
    <w:rsid w:val="00276BFA"/>
    <w:rsid w:val="00283C1B"/>
    <w:rsid w:val="002D0DFA"/>
    <w:rsid w:val="002E6468"/>
    <w:rsid w:val="002E6820"/>
    <w:rsid w:val="002F6B1B"/>
    <w:rsid w:val="00304046"/>
    <w:rsid w:val="00306EDF"/>
    <w:rsid w:val="003134B3"/>
    <w:rsid w:val="00320928"/>
    <w:rsid w:val="003251B7"/>
    <w:rsid w:val="00325BFC"/>
    <w:rsid w:val="00336AE4"/>
    <w:rsid w:val="00354B07"/>
    <w:rsid w:val="00391515"/>
    <w:rsid w:val="003C2081"/>
    <w:rsid w:val="003C43B0"/>
    <w:rsid w:val="003D1DDD"/>
    <w:rsid w:val="003D48D5"/>
    <w:rsid w:val="003E3AFA"/>
    <w:rsid w:val="003E6F62"/>
    <w:rsid w:val="003F0C66"/>
    <w:rsid w:val="00405549"/>
    <w:rsid w:val="0041279E"/>
    <w:rsid w:val="00413BF3"/>
    <w:rsid w:val="00431991"/>
    <w:rsid w:val="00431B4B"/>
    <w:rsid w:val="0043359C"/>
    <w:rsid w:val="0043433F"/>
    <w:rsid w:val="00440C74"/>
    <w:rsid w:val="00456A8D"/>
    <w:rsid w:val="00466280"/>
    <w:rsid w:val="00476649"/>
    <w:rsid w:val="00476F75"/>
    <w:rsid w:val="004A2923"/>
    <w:rsid w:val="004A6682"/>
    <w:rsid w:val="004B4F9E"/>
    <w:rsid w:val="004C4B19"/>
    <w:rsid w:val="004C4DAE"/>
    <w:rsid w:val="004D0C69"/>
    <w:rsid w:val="004D1103"/>
    <w:rsid w:val="004F0F81"/>
    <w:rsid w:val="00502F84"/>
    <w:rsid w:val="005063AF"/>
    <w:rsid w:val="00524B92"/>
    <w:rsid w:val="00524EDC"/>
    <w:rsid w:val="0053332F"/>
    <w:rsid w:val="005365BA"/>
    <w:rsid w:val="005410C9"/>
    <w:rsid w:val="00542290"/>
    <w:rsid w:val="005442E9"/>
    <w:rsid w:val="0056179B"/>
    <w:rsid w:val="00564D32"/>
    <w:rsid w:val="005708E0"/>
    <w:rsid w:val="005C5CDB"/>
    <w:rsid w:val="005D0F4E"/>
    <w:rsid w:val="005D1D74"/>
    <w:rsid w:val="005E52A0"/>
    <w:rsid w:val="005E7F5A"/>
    <w:rsid w:val="0060457F"/>
    <w:rsid w:val="00610954"/>
    <w:rsid w:val="0061237A"/>
    <w:rsid w:val="00613669"/>
    <w:rsid w:val="00614C44"/>
    <w:rsid w:val="00621611"/>
    <w:rsid w:val="00666863"/>
    <w:rsid w:val="006A085B"/>
    <w:rsid w:val="006C7EE5"/>
    <w:rsid w:val="006F0C7A"/>
    <w:rsid w:val="00711CCE"/>
    <w:rsid w:val="00717DBE"/>
    <w:rsid w:val="00741CE7"/>
    <w:rsid w:val="00753C4A"/>
    <w:rsid w:val="00756022"/>
    <w:rsid w:val="00776EBD"/>
    <w:rsid w:val="00795873"/>
    <w:rsid w:val="007D4DBC"/>
    <w:rsid w:val="007E0864"/>
    <w:rsid w:val="007F1CAD"/>
    <w:rsid w:val="007F33EE"/>
    <w:rsid w:val="007F435B"/>
    <w:rsid w:val="008062BF"/>
    <w:rsid w:val="00822734"/>
    <w:rsid w:val="00825AAE"/>
    <w:rsid w:val="00841B61"/>
    <w:rsid w:val="00842380"/>
    <w:rsid w:val="00844947"/>
    <w:rsid w:val="008529FE"/>
    <w:rsid w:val="00853D38"/>
    <w:rsid w:val="00854DEF"/>
    <w:rsid w:val="00862119"/>
    <w:rsid w:val="00862614"/>
    <w:rsid w:val="00890733"/>
    <w:rsid w:val="00895D68"/>
    <w:rsid w:val="008A250A"/>
    <w:rsid w:val="008C3ECC"/>
    <w:rsid w:val="008D0491"/>
    <w:rsid w:val="008D19DC"/>
    <w:rsid w:val="008E399F"/>
    <w:rsid w:val="008F30D8"/>
    <w:rsid w:val="00901733"/>
    <w:rsid w:val="009249BA"/>
    <w:rsid w:val="00930A3A"/>
    <w:rsid w:val="009415CC"/>
    <w:rsid w:val="00950EBF"/>
    <w:rsid w:val="00975DDB"/>
    <w:rsid w:val="009A1E29"/>
    <w:rsid w:val="009B0850"/>
    <w:rsid w:val="009B1A4B"/>
    <w:rsid w:val="009B7064"/>
    <w:rsid w:val="009C5418"/>
    <w:rsid w:val="009E1269"/>
    <w:rsid w:val="009E1DE7"/>
    <w:rsid w:val="009F4CA9"/>
    <w:rsid w:val="00A036F8"/>
    <w:rsid w:val="00A058BE"/>
    <w:rsid w:val="00A1181E"/>
    <w:rsid w:val="00A15127"/>
    <w:rsid w:val="00A25F07"/>
    <w:rsid w:val="00A319DC"/>
    <w:rsid w:val="00A420A8"/>
    <w:rsid w:val="00A519A0"/>
    <w:rsid w:val="00A7379D"/>
    <w:rsid w:val="00A8226D"/>
    <w:rsid w:val="00A84EC4"/>
    <w:rsid w:val="00AE0464"/>
    <w:rsid w:val="00AE12E0"/>
    <w:rsid w:val="00AE1A6B"/>
    <w:rsid w:val="00AF074B"/>
    <w:rsid w:val="00B01E46"/>
    <w:rsid w:val="00B024A0"/>
    <w:rsid w:val="00B03764"/>
    <w:rsid w:val="00B45717"/>
    <w:rsid w:val="00B57277"/>
    <w:rsid w:val="00B670D2"/>
    <w:rsid w:val="00B95493"/>
    <w:rsid w:val="00BD2C36"/>
    <w:rsid w:val="00BD352C"/>
    <w:rsid w:val="00BF4716"/>
    <w:rsid w:val="00BF550E"/>
    <w:rsid w:val="00C002A0"/>
    <w:rsid w:val="00C16B81"/>
    <w:rsid w:val="00C3532F"/>
    <w:rsid w:val="00C511E1"/>
    <w:rsid w:val="00C5328B"/>
    <w:rsid w:val="00C61B5B"/>
    <w:rsid w:val="00C66555"/>
    <w:rsid w:val="00C723FD"/>
    <w:rsid w:val="00CA7E46"/>
    <w:rsid w:val="00CB2486"/>
    <w:rsid w:val="00CD7D70"/>
    <w:rsid w:val="00D236C5"/>
    <w:rsid w:val="00D355FB"/>
    <w:rsid w:val="00D37670"/>
    <w:rsid w:val="00D43664"/>
    <w:rsid w:val="00D64249"/>
    <w:rsid w:val="00D86EEF"/>
    <w:rsid w:val="00D92A8D"/>
    <w:rsid w:val="00DD559A"/>
    <w:rsid w:val="00E135BA"/>
    <w:rsid w:val="00E162DC"/>
    <w:rsid w:val="00E17AA9"/>
    <w:rsid w:val="00E20A8D"/>
    <w:rsid w:val="00E23AC1"/>
    <w:rsid w:val="00E31D0E"/>
    <w:rsid w:val="00E54656"/>
    <w:rsid w:val="00E57EDE"/>
    <w:rsid w:val="00E75D46"/>
    <w:rsid w:val="00EA4EFC"/>
    <w:rsid w:val="00EB76D3"/>
    <w:rsid w:val="00EC29ED"/>
    <w:rsid w:val="00EC48F1"/>
    <w:rsid w:val="00EF66BE"/>
    <w:rsid w:val="00EF7180"/>
    <w:rsid w:val="00F15C90"/>
    <w:rsid w:val="00F20FBE"/>
    <w:rsid w:val="00F33D9C"/>
    <w:rsid w:val="00F35EAA"/>
    <w:rsid w:val="00F40F5D"/>
    <w:rsid w:val="00F4478C"/>
    <w:rsid w:val="00F64261"/>
    <w:rsid w:val="00F71B59"/>
    <w:rsid w:val="00F80844"/>
    <w:rsid w:val="00F87B7A"/>
    <w:rsid w:val="00FB0D73"/>
    <w:rsid w:val="00FB3C9D"/>
    <w:rsid w:val="00FC33C8"/>
    <w:rsid w:val="00FC6C49"/>
    <w:rsid w:val="00FD571C"/>
    <w:rsid w:val="00FE085C"/>
    <w:rsid w:val="00FE6A8C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nlyoffice.com/commentsExtendedDocument" Target="commentsExtended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onlyoffice.com/commentsDocument" Target="commentsDocument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A4433-1161-4294-BF0C-3B5ED932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915</Words>
  <Characters>5219</Characters>
  <Application>Microsoft Office Word</Application>
  <DocSecurity>0</DocSecurity>
  <Lines>43</Lines>
  <Paragraphs>12</Paragraphs>
  <ScaleCrop>false</ScaleCrop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3</cp:revision>
  <dcterms:created xsi:type="dcterms:W3CDTF">2022-10-31T07:30:00Z</dcterms:created>
  <dcterms:modified xsi:type="dcterms:W3CDTF">2022-11-02T06:49:00Z</dcterms:modified>
</cp:coreProperties>
</file>